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AC19C" w14:textId="77777777" w:rsidR="00B23DE5" w:rsidRPr="00B23DE5" w:rsidRDefault="00B23DE5" w:rsidP="00B23DE5">
      <w:pPr>
        <w:jc w:val="center"/>
        <w:rPr>
          <w:rFonts w:ascii="TH SarabunPSK" w:hAnsi="TH SarabunPSK" w:cs="TH SarabunPSK"/>
          <w:b/>
          <w:bCs/>
        </w:rPr>
      </w:pPr>
      <w:r w:rsidRPr="00B23DE5">
        <w:rPr>
          <w:rFonts w:ascii="TH SarabunPSK" w:hAnsi="TH SarabunPSK" w:cs="TH SarabunPSK" w:hint="cs"/>
          <w:b/>
          <w:bCs/>
          <w:cs/>
        </w:rPr>
        <w:t>ผลลัพธ์ที่เป็นรูปธรรมที่คาดว่าจะได้รับ</w:t>
      </w:r>
      <w:r w:rsidRPr="00B23DE5">
        <w:rPr>
          <w:rFonts w:ascii="TH SarabunPSK" w:hAnsi="TH SarabunPSK" w:cs="TH SarabunPSK" w:hint="cs"/>
          <w:b/>
          <w:bCs/>
        </w:rPr>
        <w:t xml:space="preserve"> (Expected tangible results)</w:t>
      </w:r>
    </w:p>
    <w:p w14:paraId="3A051BD3" w14:textId="77777777" w:rsidR="00B23DE5" w:rsidRPr="00B23DE5" w:rsidRDefault="00B23DE5" w:rsidP="00B23DE5">
      <w:pPr>
        <w:rPr>
          <w:rFonts w:ascii="TH SarabunPSK" w:hAnsi="TH SarabunPSK" w:cs="TH SarabunPSK"/>
        </w:rPr>
      </w:pPr>
    </w:p>
    <w:p w14:paraId="6D6D19B3" w14:textId="04D4BBC7" w:rsidR="00B23DE5" w:rsidRPr="00B23DE5" w:rsidRDefault="00B23DE5" w:rsidP="006D0FC9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H SarabunPSK" w:hAnsi="TH SarabunPSK" w:cs="TH SarabunPSK"/>
        </w:rPr>
      </w:pPr>
      <w:r w:rsidRPr="00B23DE5">
        <w:rPr>
          <w:rFonts w:ascii="TH SarabunPSK" w:hAnsi="TH SarabunPSK" w:cs="TH SarabunPSK" w:hint="cs"/>
          <w:cs/>
        </w:rPr>
        <w:t xml:space="preserve">ผลประเมินความตระหนักรู้และความเข้าใจกระบวนทัศน์ใหม่ของภาษาอังกฤษโลกจากการทำแบบสอบถามปลายภาค </w:t>
      </w:r>
    </w:p>
    <w:p w14:paraId="76D927B6" w14:textId="569CDD08" w:rsidR="00B23DE5" w:rsidRPr="00B23DE5" w:rsidRDefault="00B23DE5" w:rsidP="006D0FC9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H SarabunPSK" w:hAnsi="TH SarabunPSK" w:cs="TH SarabunPSK"/>
        </w:rPr>
      </w:pPr>
      <w:r w:rsidRPr="00B23DE5">
        <w:rPr>
          <w:rFonts w:ascii="TH SarabunPSK" w:hAnsi="TH SarabunPSK" w:cs="TH SarabunPSK" w:hint="cs"/>
          <w:cs/>
        </w:rPr>
        <w:t xml:space="preserve">ร่างบทความวิจัยเพื่อตีพิมพ์เผยแพร่ จำนวน 1 ชิ้น </w:t>
      </w:r>
      <w:proofErr w:type="spellStart"/>
      <w:r w:rsidRPr="00B23DE5">
        <w:rPr>
          <w:rFonts w:ascii="TH SarabunPSK" w:hAnsi="TH SarabunPSK" w:cs="TH SarabunPSK" w:hint="cs"/>
        </w:rPr>
        <w:t>ภายใ</w:t>
      </w:r>
      <w:proofErr w:type="spellEnd"/>
      <w:r w:rsidRPr="00B23DE5">
        <w:rPr>
          <w:rFonts w:ascii="TH SarabunPSK" w:hAnsi="TH SarabunPSK" w:cs="TH SarabunPSK" w:hint="cs"/>
          <w:cs/>
        </w:rPr>
        <w:t>นระยะเวลา 6</w:t>
      </w:r>
      <w:r w:rsidRPr="00B23DE5">
        <w:rPr>
          <w:rFonts w:ascii="TH SarabunPSK" w:hAnsi="TH SarabunPSK" w:cs="TH SarabunPSK" w:hint="cs"/>
        </w:rPr>
        <w:t xml:space="preserve"> เ</w:t>
      </w:r>
      <w:r w:rsidRPr="00B23DE5">
        <w:rPr>
          <w:rFonts w:ascii="TH SarabunPSK" w:hAnsi="TH SarabunPSK" w:cs="TH SarabunPSK" w:hint="cs"/>
          <w:cs/>
        </w:rPr>
        <w:t>ดือน หลังจากการประชุมปรึกษาการวิจัยเสร็จสิ้นทั้ง</w:t>
      </w:r>
      <w:r w:rsidRPr="00B23DE5">
        <w:rPr>
          <w:rFonts w:ascii="TH SarabunPSK" w:hAnsi="TH SarabunPSK" w:cs="TH SarabunPSK" w:hint="cs"/>
        </w:rPr>
        <w:t xml:space="preserve"> 2 </w:t>
      </w:r>
      <w:proofErr w:type="spellStart"/>
      <w:r w:rsidRPr="00B23DE5">
        <w:rPr>
          <w:rFonts w:ascii="TH SarabunPSK" w:hAnsi="TH SarabunPSK" w:cs="TH SarabunPSK" w:hint="cs"/>
        </w:rPr>
        <w:t>ครั้ง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ซ</w:t>
      </w:r>
      <w:proofErr w:type="spellStart"/>
      <w:r>
        <w:rPr>
          <w:rFonts w:ascii="TH SarabunPSK" w:hAnsi="TH SarabunPSK" w:cs="TH SarabunPSK" w:hint="cs"/>
          <w:cs/>
        </w:rPr>
        <w:t>ึ่ง</w:t>
      </w:r>
      <w:proofErr w:type="spellEnd"/>
      <w:r>
        <w:rPr>
          <w:rFonts w:ascii="TH SarabunPSK" w:hAnsi="TH SarabunPSK" w:cs="TH SarabunPSK" w:hint="cs"/>
          <w:cs/>
        </w:rPr>
        <w:t xml:space="preserve">ได้รับการตอบรับตีพิมพ์ในลักษณะ </w:t>
      </w:r>
      <w:r>
        <w:rPr>
          <w:rFonts w:ascii="TH SarabunPSK" w:hAnsi="TH SarabunPSK" w:cs="TH SarabunPSK"/>
        </w:rPr>
        <w:t xml:space="preserve">Book chapter </w:t>
      </w:r>
      <w:r w:rsidRPr="006D0FC9">
        <w:rPr>
          <w:rFonts w:ascii="TH SarabunPSK" w:hAnsi="TH SarabunPSK" w:cs="TH SarabunPSK"/>
        </w:rPr>
        <w:t>ใ</w:t>
      </w:r>
      <w:r w:rsidRPr="006D0FC9">
        <w:rPr>
          <w:rFonts w:ascii="TH SarabunPSK" w:hAnsi="TH SarabunPSK" w:cs="TH SarabunPSK" w:hint="cs"/>
          <w:cs/>
        </w:rPr>
        <w:t>นหัวข้อวิจัย</w:t>
      </w:r>
      <w:r w:rsidR="00AC7D30" w:rsidRPr="006D0FC9">
        <w:rPr>
          <w:rFonts w:ascii="TH SarabunPSK" w:hAnsi="TH SarabunPSK" w:cs="TH SarabunPSK" w:hint="cs"/>
          <w:cs/>
        </w:rPr>
        <w:t xml:space="preserve">ดังต่อไปนี้ พร้อมแนบเอกสารเมล์ตอบรับการตีพิมพ์ </w:t>
      </w:r>
    </w:p>
    <w:p w14:paraId="2EED6297" w14:textId="77777777" w:rsidR="00B23DE5" w:rsidRDefault="00B23DE5" w:rsidP="00B23DE5">
      <w:pPr>
        <w:ind w:right="-188"/>
        <w:rPr>
          <w:rFonts w:ascii="TH SarabunPSK" w:hAnsi="TH SarabunPSK" w:cs="TH SarabunPSK"/>
          <w:lang w:val="en-US"/>
        </w:rPr>
      </w:pPr>
    </w:p>
    <w:p w14:paraId="629D243F" w14:textId="6E73556B" w:rsidR="00B23DE5" w:rsidRPr="00B23DE5" w:rsidRDefault="00D510DB" w:rsidP="00B23DE5">
      <w:pPr>
        <w:ind w:left="1077" w:right="-188"/>
        <w:rPr>
          <w:rFonts w:ascii="TH SarabunPSK" w:hAnsi="TH SarabunPSK" w:cs="TH SarabunPSK"/>
        </w:rPr>
      </w:pPr>
      <w:r w:rsidRPr="00B23DE5">
        <w:rPr>
          <w:rFonts w:ascii="TH SarabunPSK" w:hAnsi="TH SarabunPSK" w:cs="TH SarabunPSK" w:hint="cs"/>
          <w:b/>
          <w:bCs/>
          <w:lang w:val="en-US"/>
        </w:rPr>
        <w:t>T</w:t>
      </w:r>
      <w:proofErr w:type="spellStart"/>
      <w:r w:rsidRPr="00B23DE5">
        <w:rPr>
          <w:rFonts w:ascii="TH SarabunPSK" w:hAnsi="TH SarabunPSK" w:cs="TH SarabunPSK" w:hint="cs"/>
          <w:b/>
          <w:bCs/>
        </w:rPr>
        <w:t>ranslanguaging</w:t>
      </w:r>
      <w:proofErr w:type="spellEnd"/>
      <w:r w:rsidRPr="00B23DE5">
        <w:rPr>
          <w:rFonts w:ascii="TH SarabunPSK" w:hAnsi="TH SarabunPSK" w:cs="TH SarabunPSK" w:hint="cs"/>
          <w:b/>
          <w:bCs/>
          <w:lang w:val="en-US"/>
        </w:rPr>
        <w:t>, a way of expanding individuals’ meaning-making repertoire.</w:t>
      </w:r>
    </w:p>
    <w:p w14:paraId="7BED6606" w14:textId="07AB090D" w:rsidR="00D510DB" w:rsidRPr="00B23DE5" w:rsidRDefault="00D510DB" w:rsidP="00B23DE5">
      <w:pPr>
        <w:rPr>
          <w:rFonts w:ascii="TH SarabunPSK" w:hAnsi="TH SarabunPSK" w:cs="TH SarabunPSK"/>
          <w:lang w:val="en-US"/>
        </w:rPr>
      </w:pPr>
      <w:r w:rsidRPr="00B23DE5">
        <w:rPr>
          <w:rFonts w:ascii="TH SarabunPSK" w:hAnsi="TH SarabunPSK" w:cs="TH SarabunPSK" w:hint="cs"/>
        </w:rPr>
        <w:t>Tiraporn Jaroensak</w:t>
      </w:r>
      <w:r w:rsidRPr="00B23DE5">
        <w:rPr>
          <w:rFonts w:ascii="TH SarabunPSK" w:hAnsi="TH SarabunPSK" w:cs="TH SarabunPSK" w:hint="cs"/>
          <w:lang w:val="en-US"/>
        </w:rPr>
        <w:t>*(</w:t>
      </w:r>
      <w:hyperlink r:id="rId8" w:history="1">
        <w:r w:rsidRPr="00B23DE5">
          <w:rPr>
            <w:rStyle w:val="Hyperlink"/>
            <w:rFonts w:ascii="TH SarabunPSK" w:hAnsi="TH SarabunPSK" w:cs="TH SarabunPSK" w:hint="cs"/>
            <w:color w:val="auto"/>
            <w:lang w:val="en-US"/>
          </w:rPr>
          <w:t>tiraporn.j@psu.ac.th</w:t>
        </w:r>
      </w:hyperlink>
      <w:r w:rsidRPr="00B23DE5">
        <w:rPr>
          <w:rFonts w:ascii="TH SarabunPSK" w:hAnsi="TH SarabunPSK" w:cs="TH SarabunPSK" w:hint="cs"/>
          <w:lang w:val="en-US"/>
        </w:rPr>
        <w:t xml:space="preserve">) </w:t>
      </w:r>
    </w:p>
    <w:p w14:paraId="5D6FEACA" w14:textId="17B7BB83" w:rsidR="00D510DB" w:rsidRPr="00B23DE5" w:rsidRDefault="00D510DB" w:rsidP="00B23DE5">
      <w:pPr>
        <w:rPr>
          <w:rFonts w:ascii="TH SarabunPSK" w:hAnsi="TH SarabunPSK" w:cs="TH SarabunPSK"/>
        </w:rPr>
      </w:pPr>
      <w:r w:rsidRPr="00B23DE5">
        <w:rPr>
          <w:rFonts w:ascii="TH SarabunPSK" w:hAnsi="TH SarabunPSK" w:cs="TH SarabunPSK" w:hint="cs"/>
          <w:lang w:val="en-US"/>
        </w:rPr>
        <w:t>International College, Surat Thani Campus,</w:t>
      </w:r>
      <w:r w:rsidRPr="00B23DE5">
        <w:rPr>
          <w:rFonts w:ascii="TH SarabunPSK" w:hAnsi="TH SarabunPSK" w:cs="TH SarabunPSK" w:hint="cs"/>
        </w:rPr>
        <w:t xml:space="preserve"> Prince of Songkla University, Surat Thani, Thailand</w:t>
      </w:r>
    </w:p>
    <w:p w14:paraId="31400B21" w14:textId="791FFE87" w:rsidR="00D510DB" w:rsidRPr="00B23DE5" w:rsidRDefault="00D510DB" w:rsidP="00B23DE5">
      <w:pPr>
        <w:rPr>
          <w:rFonts w:ascii="TH SarabunPSK" w:hAnsi="TH SarabunPSK" w:cs="TH SarabunPSK"/>
          <w:lang w:val="en-US"/>
        </w:rPr>
      </w:pPr>
      <w:r w:rsidRPr="00B23DE5">
        <w:rPr>
          <w:rFonts w:ascii="TH SarabunPSK" w:hAnsi="TH SarabunPSK" w:cs="TH SarabunPSK" w:hint="cs"/>
        </w:rPr>
        <w:t>Mario Saraceni (</w:t>
      </w:r>
      <w:hyperlink r:id="rId9" w:history="1">
        <w:r w:rsidRPr="00B23DE5">
          <w:rPr>
            <w:rStyle w:val="Hyperlink"/>
            <w:rFonts w:ascii="TH SarabunPSK" w:hAnsi="TH SarabunPSK" w:cs="TH SarabunPSK" w:hint="cs"/>
            <w:color w:val="auto"/>
          </w:rPr>
          <w:t>mario.saraceni@port.ac.uk</w:t>
        </w:r>
      </w:hyperlink>
      <w:r w:rsidRPr="00B23DE5">
        <w:rPr>
          <w:rFonts w:ascii="TH SarabunPSK" w:hAnsi="TH SarabunPSK" w:cs="TH SarabunPSK" w:hint="cs"/>
          <w:lang w:val="en-US"/>
        </w:rPr>
        <w:t xml:space="preserve">) </w:t>
      </w:r>
    </w:p>
    <w:p w14:paraId="142EE1C1" w14:textId="54B58405" w:rsidR="00D510DB" w:rsidRPr="00B23DE5" w:rsidRDefault="00D510DB" w:rsidP="00B23DE5">
      <w:pPr>
        <w:rPr>
          <w:rFonts w:ascii="TH SarabunPSK" w:hAnsi="TH SarabunPSK" w:cs="TH SarabunPSK"/>
          <w:lang w:val="en-US"/>
        </w:rPr>
      </w:pPr>
      <w:r w:rsidRPr="00B23DE5">
        <w:rPr>
          <w:rFonts w:ascii="TH SarabunPSK" w:hAnsi="TH SarabunPSK" w:cs="TH SarabunPSK" w:hint="cs"/>
        </w:rPr>
        <w:t>School of Languages and Applied Linguistics, University of Portsmouth, Portsmouth, United Kingdom</w:t>
      </w:r>
    </w:p>
    <w:p w14:paraId="15A81147" w14:textId="77777777" w:rsidR="0094722C" w:rsidRPr="00B23DE5" w:rsidRDefault="0094722C" w:rsidP="00B23DE5">
      <w:pPr>
        <w:jc w:val="both"/>
        <w:rPr>
          <w:rFonts w:ascii="TH SarabunPSK" w:hAnsi="TH SarabunPSK" w:cs="TH SarabunPSK"/>
          <w:lang w:val="en-US"/>
        </w:rPr>
      </w:pPr>
    </w:p>
    <w:p w14:paraId="6BAB8949" w14:textId="77777777" w:rsidR="0094722C" w:rsidRPr="00B23DE5" w:rsidRDefault="00D510DB" w:rsidP="00B23DE5">
      <w:pPr>
        <w:ind w:firstLine="720"/>
        <w:jc w:val="both"/>
        <w:rPr>
          <w:rFonts w:ascii="TH SarabunPSK" w:hAnsi="TH SarabunPSK" w:cs="TH SarabunPSK"/>
        </w:rPr>
      </w:pPr>
      <w:r w:rsidRPr="00B23DE5">
        <w:rPr>
          <w:rFonts w:ascii="TH SarabunPSK" w:hAnsi="TH SarabunPSK" w:cs="TH SarabunPSK" w:hint="cs"/>
          <w:lang w:val="en-US"/>
        </w:rPr>
        <w:t>T</w:t>
      </w:r>
      <w:r w:rsidRPr="00B23DE5">
        <w:rPr>
          <w:rFonts w:ascii="TH SarabunPSK" w:hAnsi="TH SarabunPSK" w:cs="TH SarabunPSK" w:hint="cs"/>
        </w:rPr>
        <w:t>he spread of English</w:t>
      </w:r>
      <w:r w:rsidRPr="00B23DE5">
        <w:rPr>
          <w:rFonts w:ascii="TH SarabunPSK" w:hAnsi="TH SarabunPSK" w:cs="TH SarabunPSK" w:hint="cs"/>
          <w:lang w:val="en-US"/>
        </w:rPr>
        <w:t xml:space="preserve"> </w:t>
      </w:r>
      <w:r w:rsidRPr="00B23DE5">
        <w:rPr>
          <w:rFonts w:ascii="TH SarabunPSK" w:hAnsi="TH SarabunPSK" w:cs="TH SarabunPSK" w:hint="cs"/>
        </w:rPr>
        <w:t xml:space="preserve">outside the boundaries of Britain </w:t>
      </w:r>
      <w:r w:rsidRPr="00B23DE5">
        <w:rPr>
          <w:rFonts w:ascii="TH SarabunPSK" w:hAnsi="TH SarabunPSK" w:cs="TH SarabunPSK" w:hint="cs"/>
          <w:lang w:val="en-US"/>
        </w:rPr>
        <w:t xml:space="preserve">has </w:t>
      </w:r>
      <w:r w:rsidRPr="00B23DE5">
        <w:rPr>
          <w:rFonts w:ascii="TH SarabunPSK" w:hAnsi="TH SarabunPSK" w:cs="TH SarabunPSK" w:hint="cs"/>
        </w:rPr>
        <w:t xml:space="preserve">resulted in the emergence of many varieties of English, and English acquiring the role of an international lingua franca. </w:t>
      </w:r>
      <w:r w:rsidRPr="00B23DE5">
        <w:rPr>
          <w:rFonts w:ascii="TH SarabunPSK" w:hAnsi="TH SarabunPSK" w:cs="TH SarabunPSK" w:hint="cs"/>
          <w:lang w:val="en-US"/>
        </w:rPr>
        <w:t xml:space="preserve">Today, </w:t>
      </w:r>
      <w:r w:rsidRPr="00B23DE5">
        <w:rPr>
          <w:rFonts w:ascii="TH SarabunPSK" w:hAnsi="TH SarabunPSK" w:cs="TH SarabunPSK" w:hint="cs"/>
        </w:rPr>
        <w:t xml:space="preserve">English is often used in </w:t>
      </w:r>
      <w:r w:rsidRPr="00B23DE5">
        <w:rPr>
          <w:rFonts w:ascii="TH SarabunPSK" w:hAnsi="TH SarabunPSK" w:cs="TH SarabunPSK" w:hint="cs"/>
          <w:lang w:val="en-US"/>
        </w:rPr>
        <w:t>diverse</w:t>
      </w:r>
      <w:r w:rsidRPr="00B23DE5">
        <w:rPr>
          <w:rFonts w:ascii="TH SarabunPSK" w:hAnsi="TH SarabunPSK" w:cs="TH SarabunPSK" w:hint="cs"/>
        </w:rPr>
        <w:t xml:space="preserve"> linguacultural context </w:t>
      </w:r>
      <w:r w:rsidRPr="00B23DE5">
        <w:rPr>
          <w:rFonts w:ascii="TH SarabunPSK" w:hAnsi="TH SarabunPSK" w:cs="TH SarabunPSK" w:hint="cs"/>
          <w:lang w:val="en-US"/>
        </w:rPr>
        <w:t>in</w:t>
      </w:r>
      <w:r w:rsidRPr="00B23DE5">
        <w:rPr>
          <w:rFonts w:ascii="TH SarabunPSK" w:hAnsi="TH SarabunPSK" w:cs="TH SarabunPSK" w:hint="cs"/>
        </w:rPr>
        <w:t xml:space="preserve"> hybrid and fluid forms</w:t>
      </w:r>
      <w:r w:rsidRPr="00B23DE5">
        <w:rPr>
          <w:rFonts w:ascii="TH SarabunPSK" w:hAnsi="TH SarabunPSK" w:cs="TH SarabunPSK" w:hint="cs"/>
          <w:lang w:val="en-US"/>
        </w:rPr>
        <w:t xml:space="preserve">. </w:t>
      </w:r>
      <w:r w:rsidRPr="00B23DE5">
        <w:rPr>
          <w:rFonts w:ascii="TH SarabunPSK" w:hAnsi="TH SarabunPSK" w:cs="TH SarabunPSK" w:hint="cs"/>
        </w:rPr>
        <w:t xml:space="preserve">Therefore, users of English as a lingua franca are multilingual speakers who draw from their linguistic repertoires to produce and exchange meaning. This means that English is used simultaneously with other languages, a linguistic practice that has been </w:t>
      </w:r>
      <w:proofErr w:type="gramStart"/>
      <w:r w:rsidRPr="00B23DE5">
        <w:rPr>
          <w:rFonts w:ascii="TH SarabunPSK" w:hAnsi="TH SarabunPSK" w:cs="TH SarabunPSK" w:hint="cs"/>
        </w:rPr>
        <w:t>termed  translanguaging</w:t>
      </w:r>
      <w:proofErr w:type="gramEnd"/>
      <w:r w:rsidRPr="00B23DE5">
        <w:rPr>
          <w:rFonts w:ascii="TH SarabunPSK" w:hAnsi="TH SarabunPSK" w:cs="TH SarabunPSK" w:hint="cs"/>
          <w:lang w:val="en-US"/>
        </w:rPr>
        <w:t xml:space="preserve">. </w:t>
      </w:r>
    </w:p>
    <w:p w14:paraId="2EBEB413" w14:textId="77777777" w:rsidR="0094722C" w:rsidRPr="00B23DE5" w:rsidRDefault="0094722C" w:rsidP="00B23DE5">
      <w:pPr>
        <w:jc w:val="both"/>
        <w:rPr>
          <w:rFonts w:ascii="TH SarabunPSK" w:hAnsi="TH SarabunPSK" w:cs="TH SarabunPSK"/>
          <w:lang w:val="en-US"/>
        </w:rPr>
      </w:pPr>
    </w:p>
    <w:p w14:paraId="650F0ECC" w14:textId="7E036EF9" w:rsidR="0094722C" w:rsidRPr="00B23DE5" w:rsidRDefault="00D510DB" w:rsidP="00B23DE5">
      <w:pPr>
        <w:ind w:firstLine="720"/>
        <w:jc w:val="both"/>
        <w:rPr>
          <w:rFonts w:ascii="TH SarabunPSK" w:hAnsi="TH SarabunPSK" w:cs="TH SarabunPSK"/>
          <w:cs/>
          <w:lang w:val="en-US"/>
        </w:rPr>
      </w:pPr>
      <w:r w:rsidRPr="00B23DE5">
        <w:rPr>
          <w:rFonts w:ascii="TH SarabunPSK" w:hAnsi="TH SarabunPSK" w:cs="TH SarabunPSK" w:hint="cs"/>
        </w:rPr>
        <w:t xml:space="preserve">Translanguaging can also be exploited as a teaching practice to </w:t>
      </w:r>
      <w:r w:rsidRPr="00B23DE5">
        <w:rPr>
          <w:rFonts w:ascii="TH SarabunPSK" w:hAnsi="TH SarabunPSK" w:cs="TH SarabunPSK" w:hint="cs"/>
          <w:lang w:val="en-US"/>
        </w:rPr>
        <w:t>enhance</w:t>
      </w:r>
      <w:r w:rsidRPr="00B23DE5">
        <w:rPr>
          <w:rFonts w:ascii="TH SarabunPSK" w:hAnsi="TH SarabunPSK" w:cs="TH SarabunPSK" w:hint="cs"/>
        </w:rPr>
        <w:t xml:space="preserve"> English-language learners’ meaning-making skills and</w:t>
      </w:r>
      <w:r w:rsidRPr="00B23DE5">
        <w:rPr>
          <w:rFonts w:ascii="TH SarabunPSK" w:hAnsi="TH SarabunPSK" w:cs="TH SarabunPSK" w:hint="cs"/>
          <w:lang w:val="en-US"/>
        </w:rPr>
        <w:t xml:space="preserve"> </w:t>
      </w:r>
      <w:r w:rsidRPr="00B23DE5">
        <w:rPr>
          <w:rFonts w:ascii="TH SarabunPSK" w:hAnsi="TH SarabunPSK" w:cs="TH SarabunPSK" w:hint="cs"/>
        </w:rPr>
        <w:t>expand their repertoire</w:t>
      </w:r>
      <w:r w:rsidRPr="00B23DE5">
        <w:rPr>
          <w:rFonts w:ascii="TH SarabunPSK" w:hAnsi="TH SarabunPSK" w:cs="TH SarabunPSK" w:hint="cs"/>
          <w:lang w:val="en-US"/>
        </w:rPr>
        <w:t>s</w:t>
      </w:r>
      <w:r w:rsidRPr="00B23DE5">
        <w:rPr>
          <w:rFonts w:ascii="TH SarabunPSK" w:hAnsi="TH SarabunPSK" w:cs="TH SarabunPSK" w:hint="cs"/>
        </w:rPr>
        <w:t xml:space="preserve"> through communicative activities in the classroom. Th</w:t>
      </w:r>
      <w:r w:rsidRPr="00B23DE5">
        <w:rPr>
          <w:rFonts w:ascii="TH SarabunPSK" w:hAnsi="TH SarabunPSK" w:cs="TH SarabunPSK" w:hint="cs"/>
          <w:lang w:val="en-US"/>
        </w:rPr>
        <w:t xml:space="preserve">is </w:t>
      </w:r>
      <w:r w:rsidRPr="00B23DE5">
        <w:rPr>
          <w:rFonts w:ascii="TH SarabunPSK" w:hAnsi="TH SarabunPSK" w:cs="TH SarabunPSK" w:hint="cs"/>
        </w:rPr>
        <w:t xml:space="preserve">chapter reports </w:t>
      </w:r>
      <w:r w:rsidRPr="00B23DE5">
        <w:rPr>
          <w:rFonts w:ascii="TH SarabunPSK" w:hAnsi="TH SarabunPSK" w:cs="TH SarabunPSK" w:hint="cs"/>
          <w:lang w:val="en-US"/>
        </w:rPr>
        <w:t xml:space="preserve">on </w:t>
      </w:r>
      <w:r w:rsidRPr="00B23DE5">
        <w:rPr>
          <w:rFonts w:ascii="TH SarabunPSK" w:hAnsi="TH SarabunPSK" w:cs="TH SarabunPSK" w:hint="cs"/>
        </w:rPr>
        <w:t xml:space="preserve">a study examining translanguaging during discussion sessions </w:t>
      </w:r>
      <w:r w:rsidRPr="00B23DE5">
        <w:rPr>
          <w:rFonts w:ascii="TH SarabunPSK" w:hAnsi="TH SarabunPSK" w:cs="TH SarabunPSK" w:hint="cs"/>
          <w:lang w:val="en-US"/>
        </w:rPr>
        <w:t xml:space="preserve">in a “World </w:t>
      </w:r>
      <w:proofErr w:type="spellStart"/>
      <w:r w:rsidRPr="00B23DE5">
        <w:rPr>
          <w:rFonts w:ascii="TH SarabunPSK" w:hAnsi="TH SarabunPSK" w:cs="TH SarabunPSK" w:hint="cs"/>
          <w:lang w:val="en-US"/>
        </w:rPr>
        <w:t>Englishes</w:t>
      </w:r>
      <w:proofErr w:type="spellEnd"/>
      <w:r w:rsidRPr="00B23DE5">
        <w:rPr>
          <w:rFonts w:ascii="TH SarabunPSK" w:hAnsi="TH SarabunPSK" w:cs="TH SarabunPSK" w:hint="cs"/>
          <w:lang w:val="en-US"/>
        </w:rPr>
        <w:t xml:space="preserve">” course at a Thai university.  </w:t>
      </w:r>
      <w:r w:rsidRPr="00B23DE5">
        <w:rPr>
          <w:rFonts w:ascii="TH SarabunPSK" w:hAnsi="TH SarabunPSK" w:cs="TH SarabunPSK" w:hint="cs"/>
        </w:rPr>
        <w:t xml:space="preserve">The study </w:t>
      </w:r>
      <w:r w:rsidRPr="00B23DE5">
        <w:rPr>
          <w:rFonts w:ascii="TH SarabunPSK" w:hAnsi="TH SarabunPSK" w:cs="TH SarabunPSK" w:hint="cs"/>
          <w:lang w:val="en-US"/>
        </w:rPr>
        <w:t>aims</w:t>
      </w:r>
      <w:r w:rsidRPr="00B23DE5">
        <w:rPr>
          <w:rFonts w:ascii="TH SarabunPSK" w:hAnsi="TH SarabunPSK" w:cs="TH SarabunPSK" w:hint="cs"/>
        </w:rPr>
        <w:t xml:space="preserve"> to explore students’ perspectives on their</w:t>
      </w:r>
      <w:r w:rsidRPr="00B23DE5">
        <w:rPr>
          <w:rFonts w:ascii="TH SarabunPSK" w:hAnsi="TH SarabunPSK" w:cs="TH SarabunPSK" w:hint="cs"/>
          <w:lang w:val="en-US"/>
        </w:rPr>
        <w:t xml:space="preserve"> </w:t>
      </w:r>
      <w:r w:rsidRPr="00B23DE5">
        <w:rPr>
          <w:rFonts w:ascii="TH SarabunPSK" w:hAnsi="TH SarabunPSK" w:cs="TH SarabunPSK" w:hint="cs"/>
        </w:rPr>
        <w:t xml:space="preserve">struggles </w:t>
      </w:r>
      <w:r w:rsidRPr="00B23DE5">
        <w:rPr>
          <w:rFonts w:ascii="TH SarabunPSK" w:hAnsi="TH SarabunPSK" w:cs="TH SarabunPSK" w:hint="cs"/>
          <w:lang w:val="en-US"/>
        </w:rPr>
        <w:t xml:space="preserve">to </w:t>
      </w:r>
      <w:proofErr w:type="spellStart"/>
      <w:r w:rsidRPr="00B23DE5">
        <w:rPr>
          <w:rFonts w:ascii="TH SarabunPSK" w:hAnsi="TH SarabunPSK" w:cs="TH SarabunPSK" w:hint="cs"/>
          <w:lang w:val="en-US"/>
        </w:rPr>
        <w:t>utilise</w:t>
      </w:r>
      <w:proofErr w:type="spellEnd"/>
      <w:r w:rsidRPr="00B23DE5">
        <w:rPr>
          <w:rFonts w:ascii="TH SarabunPSK" w:hAnsi="TH SarabunPSK" w:cs="TH SarabunPSK" w:hint="cs"/>
        </w:rPr>
        <w:t xml:space="preserve"> their linguistic, cultural, and pragmatic resources in meaning </w:t>
      </w:r>
      <w:r w:rsidRPr="00B23DE5">
        <w:rPr>
          <w:rFonts w:ascii="TH SarabunPSK" w:hAnsi="TH SarabunPSK" w:cs="TH SarabunPSK" w:hint="cs"/>
          <w:lang w:val="en-US"/>
        </w:rPr>
        <w:t>making</w:t>
      </w:r>
      <w:r w:rsidRPr="00B23DE5">
        <w:rPr>
          <w:rFonts w:ascii="TH SarabunPSK" w:hAnsi="TH SarabunPSK" w:cs="TH SarabunPSK" w:hint="cs"/>
        </w:rPr>
        <w:t xml:space="preserve"> and to investigate the effectiveness of </w:t>
      </w:r>
      <w:proofErr w:type="spellStart"/>
      <w:r w:rsidRPr="00B23DE5">
        <w:rPr>
          <w:rFonts w:ascii="TH SarabunPSK" w:hAnsi="TH SarabunPSK" w:cs="TH SarabunPSK" w:hint="cs"/>
        </w:rPr>
        <w:t>translanguaging</w:t>
      </w:r>
      <w:proofErr w:type="spellEnd"/>
      <w:r w:rsidRPr="00B23DE5">
        <w:rPr>
          <w:rFonts w:ascii="TH SarabunPSK" w:hAnsi="TH SarabunPSK" w:cs="TH SarabunPSK" w:hint="cs"/>
        </w:rPr>
        <w:t xml:space="preserve"> to expand their repertoires.</w:t>
      </w:r>
      <w:r w:rsidRPr="00B23DE5">
        <w:rPr>
          <w:rFonts w:ascii="TH SarabunPSK" w:hAnsi="TH SarabunPSK" w:cs="TH SarabunPSK" w:hint="cs"/>
          <w:lang w:val="en-US"/>
        </w:rPr>
        <w:t xml:space="preserve"> Fourth-year undergraduate students, as the participants </w:t>
      </w:r>
      <w:r w:rsidR="00F84C0C" w:rsidRPr="00B23DE5">
        <w:rPr>
          <w:rFonts w:ascii="TH SarabunPSK" w:hAnsi="TH SarabunPSK" w:cs="TH SarabunPSK" w:hint="cs"/>
          <w:lang w:val="en-US"/>
        </w:rPr>
        <w:t>are</w:t>
      </w:r>
      <w:r w:rsidRPr="00B23DE5">
        <w:rPr>
          <w:rFonts w:ascii="TH SarabunPSK" w:hAnsi="TH SarabunPSK" w:cs="TH SarabunPSK" w:hint="cs"/>
          <w:lang w:val="en-US"/>
        </w:rPr>
        <w:t xml:space="preserve"> encouraged to use English as their main language and Thai as their secondary language in </w:t>
      </w:r>
      <w:proofErr w:type="spellStart"/>
      <w:r w:rsidRPr="00B23DE5">
        <w:rPr>
          <w:rFonts w:ascii="TH SarabunPSK" w:hAnsi="TH SarabunPSK" w:cs="TH SarabunPSK" w:hint="cs"/>
          <w:lang w:val="en-US"/>
        </w:rPr>
        <w:t>translanguaging</w:t>
      </w:r>
      <w:proofErr w:type="spellEnd"/>
      <w:r w:rsidRPr="00B23DE5">
        <w:rPr>
          <w:rFonts w:ascii="TH SarabunPSK" w:hAnsi="TH SarabunPSK" w:cs="TH SarabunPSK" w:hint="cs"/>
          <w:lang w:val="en-US"/>
        </w:rPr>
        <w:t>. R</w:t>
      </w:r>
      <w:r w:rsidRPr="00B23DE5">
        <w:rPr>
          <w:rFonts w:ascii="TH SarabunPSK" w:hAnsi="TH SarabunPSK" w:cs="TH SarabunPSK" w:hint="cs"/>
        </w:rPr>
        <w:t>esearch</w:t>
      </w:r>
      <w:r w:rsidRPr="00B23DE5">
        <w:rPr>
          <w:rFonts w:ascii="TH SarabunPSK" w:hAnsi="TH SarabunPSK" w:cs="TH SarabunPSK" w:hint="cs"/>
          <w:lang w:val="en-US"/>
        </w:rPr>
        <w:t>er</w:t>
      </w:r>
      <w:r w:rsidRPr="00B23DE5">
        <w:rPr>
          <w:rFonts w:ascii="TH SarabunPSK" w:hAnsi="TH SarabunPSK" w:cs="TH SarabunPSK" w:hint="cs"/>
        </w:rPr>
        <w:t xml:space="preserve"> field notes, </w:t>
      </w:r>
      <w:r w:rsidR="00F84C0C" w:rsidRPr="00B23DE5">
        <w:rPr>
          <w:rFonts w:ascii="TH SarabunPSK" w:hAnsi="TH SarabunPSK" w:cs="TH SarabunPSK" w:hint="cs"/>
        </w:rPr>
        <w:t>questionnaires</w:t>
      </w:r>
      <w:r w:rsidRPr="00B23DE5">
        <w:rPr>
          <w:rFonts w:ascii="TH SarabunPSK" w:hAnsi="TH SarabunPSK" w:cs="TH SarabunPSK" w:hint="cs"/>
        </w:rPr>
        <w:t xml:space="preserve"> and interviews </w:t>
      </w:r>
      <w:r w:rsidR="00F84C0C" w:rsidRPr="00B23DE5">
        <w:rPr>
          <w:rFonts w:ascii="TH SarabunPSK" w:hAnsi="TH SarabunPSK" w:cs="TH SarabunPSK" w:hint="cs"/>
        </w:rPr>
        <w:t>will be</w:t>
      </w:r>
      <w:r w:rsidRPr="00B23DE5">
        <w:rPr>
          <w:rFonts w:ascii="TH SarabunPSK" w:hAnsi="TH SarabunPSK" w:cs="TH SarabunPSK" w:hint="cs"/>
        </w:rPr>
        <w:t xml:space="preserve"> collected. The focus of the study </w:t>
      </w:r>
      <w:r w:rsidR="00F84C0C" w:rsidRPr="00B23DE5">
        <w:rPr>
          <w:rFonts w:ascii="TH SarabunPSK" w:hAnsi="TH SarabunPSK" w:cs="TH SarabunPSK" w:hint="cs"/>
        </w:rPr>
        <w:t>is</w:t>
      </w:r>
      <w:r w:rsidRPr="00B23DE5">
        <w:rPr>
          <w:rFonts w:ascii="TH SarabunPSK" w:hAnsi="TH SarabunPSK" w:cs="TH SarabunPSK" w:hint="cs"/>
        </w:rPr>
        <w:t xml:space="preserve"> on the </w:t>
      </w:r>
      <w:r w:rsidRPr="00B23DE5">
        <w:rPr>
          <w:rFonts w:ascii="TH SarabunPSK" w:hAnsi="TH SarabunPSK" w:cs="TH SarabunPSK" w:hint="cs"/>
          <w:lang w:val="en-US"/>
        </w:rPr>
        <w:t xml:space="preserve">extent to which </w:t>
      </w:r>
      <w:proofErr w:type="spellStart"/>
      <w:r w:rsidRPr="00B23DE5">
        <w:rPr>
          <w:rFonts w:ascii="TH SarabunPSK" w:hAnsi="TH SarabunPSK" w:cs="TH SarabunPSK" w:hint="cs"/>
          <w:lang w:val="en-US"/>
        </w:rPr>
        <w:t>translanguaging</w:t>
      </w:r>
      <w:proofErr w:type="spellEnd"/>
      <w:r w:rsidRPr="00B23DE5">
        <w:rPr>
          <w:rFonts w:ascii="TH SarabunPSK" w:hAnsi="TH SarabunPSK" w:cs="TH SarabunPSK" w:hint="cs"/>
          <w:lang w:val="en-US"/>
        </w:rPr>
        <w:t xml:space="preserve"> affected </w:t>
      </w:r>
      <w:r w:rsidRPr="00B23DE5">
        <w:rPr>
          <w:rFonts w:ascii="TH SarabunPSK" w:hAnsi="TH SarabunPSK" w:cs="TH SarabunPSK" w:hint="cs"/>
        </w:rPr>
        <w:t>students’ repertoires of language use and their meaning-making repertoires in communicative activities</w:t>
      </w:r>
      <w:r w:rsidRPr="00B23DE5">
        <w:rPr>
          <w:rFonts w:ascii="TH SarabunPSK" w:hAnsi="TH SarabunPSK" w:cs="TH SarabunPSK" w:hint="cs"/>
          <w:lang w:val="en-US"/>
        </w:rPr>
        <w:t xml:space="preserve"> when they tr</w:t>
      </w:r>
      <w:r w:rsidR="00F84C0C" w:rsidRPr="00B23DE5">
        <w:rPr>
          <w:rFonts w:ascii="TH SarabunPSK" w:hAnsi="TH SarabunPSK" w:cs="TH SarabunPSK" w:hint="cs"/>
          <w:lang w:val="en-US"/>
        </w:rPr>
        <w:t>y</w:t>
      </w:r>
      <w:r w:rsidRPr="00B23DE5">
        <w:rPr>
          <w:rFonts w:ascii="TH SarabunPSK" w:hAnsi="TH SarabunPSK" w:cs="TH SarabunPSK" w:hint="cs"/>
          <w:lang w:val="en-US"/>
        </w:rPr>
        <w:t xml:space="preserve"> to express their understanding and opinion related to the academic content of the course. The chapter </w:t>
      </w:r>
      <w:r w:rsidR="00F84C0C" w:rsidRPr="00B23DE5">
        <w:rPr>
          <w:rFonts w:ascii="TH SarabunPSK" w:hAnsi="TH SarabunPSK" w:cs="TH SarabunPSK" w:hint="cs"/>
          <w:lang w:val="en-US"/>
        </w:rPr>
        <w:t xml:space="preserve">will </w:t>
      </w:r>
      <w:r w:rsidRPr="00B23DE5">
        <w:rPr>
          <w:rFonts w:ascii="TH SarabunPSK" w:hAnsi="TH SarabunPSK" w:cs="TH SarabunPSK" w:hint="cs"/>
          <w:lang w:val="en-US"/>
        </w:rPr>
        <w:t>conclude</w:t>
      </w:r>
      <w:r w:rsidR="00F84C0C" w:rsidRPr="00B23DE5">
        <w:rPr>
          <w:rFonts w:ascii="TH SarabunPSK" w:hAnsi="TH SarabunPSK" w:cs="TH SarabunPSK" w:hint="cs"/>
          <w:lang w:val="en-US"/>
        </w:rPr>
        <w:t xml:space="preserve"> </w:t>
      </w:r>
      <w:r w:rsidRPr="00B23DE5">
        <w:rPr>
          <w:rFonts w:ascii="TH SarabunPSK" w:hAnsi="TH SarabunPSK" w:cs="TH SarabunPSK" w:hint="cs"/>
          <w:lang w:val="en-US"/>
        </w:rPr>
        <w:t xml:space="preserve">with critical perspectives on the pedagogical implementation of </w:t>
      </w:r>
      <w:proofErr w:type="spellStart"/>
      <w:r w:rsidRPr="00B23DE5">
        <w:rPr>
          <w:rFonts w:ascii="TH SarabunPSK" w:hAnsi="TH SarabunPSK" w:cs="TH SarabunPSK" w:hint="cs"/>
          <w:lang w:val="en-US"/>
        </w:rPr>
        <w:t>translanguaging</w:t>
      </w:r>
      <w:proofErr w:type="spellEnd"/>
      <w:r w:rsidRPr="00B23DE5">
        <w:rPr>
          <w:rFonts w:ascii="TH SarabunPSK" w:hAnsi="TH SarabunPSK" w:cs="TH SarabunPSK" w:hint="cs"/>
          <w:lang w:val="en-US"/>
        </w:rPr>
        <w:t xml:space="preserve"> in the classroom in relation to the expected outcomes of learning English as an additional language.</w:t>
      </w:r>
    </w:p>
    <w:p w14:paraId="0DB79668" w14:textId="794330DA" w:rsidR="0094722C" w:rsidRPr="00B23DE5" w:rsidRDefault="0094722C" w:rsidP="00B23DE5">
      <w:pPr>
        <w:jc w:val="both"/>
        <w:rPr>
          <w:rFonts w:ascii="TH SarabunPSK" w:hAnsi="TH SarabunPSK" w:cs="TH SarabunPSK"/>
          <w:lang w:val="en-US"/>
        </w:rPr>
      </w:pPr>
    </w:p>
    <w:p w14:paraId="31B2DFC6" w14:textId="77777777" w:rsidR="00F31AC7" w:rsidRPr="00B23DE5" w:rsidRDefault="00F31AC7" w:rsidP="00B23DE5">
      <w:pPr>
        <w:jc w:val="both"/>
        <w:rPr>
          <w:rFonts w:ascii="TH SarabunPSK" w:hAnsi="TH SarabunPSK" w:cs="TH SarabunPSK"/>
          <w:b/>
          <w:bCs/>
          <w:cs/>
          <w:lang w:val="en-US"/>
        </w:rPr>
      </w:pPr>
      <w:r w:rsidRPr="00B23DE5">
        <w:rPr>
          <w:rFonts w:ascii="TH SarabunPSK" w:hAnsi="TH SarabunPSK" w:cs="TH SarabunPSK" w:hint="cs"/>
          <w:b/>
          <w:bCs/>
          <w:lang w:val="en-US"/>
        </w:rPr>
        <w:t xml:space="preserve">Significance of the study </w:t>
      </w:r>
    </w:p>
    <w:p w14:paraId="363F8313" w14:textId="00AF9DA4" w:rsidR="00F31AC7" w:rsidRPr="00B23DE5" w:rsidRDefault="00F31AC7" w:rsidP="00B23DE5">
      <w:pPr>
        <w:pStyle w:val="ListParagraph"/>
        <w:numPr>
          <w:ilvl w:val="0"/>
          <w:numId w:val="2"/>
        </w:numPr>
        <w:jc w:val="both"/>
        <w:rPr>
          <w:rFonts w:ascii="TH SarabunPSK" w:hAnsi="TH SarabunPSK" w:cs="TH SarabunPSK"/>
          <w:szCs w:val="24"/>
          <w:lang w:val="en-US"/>
        </w:rPr>
      </w:pPr>
      <w:r w:rsidRPr="00B23DE5">
        <w:rPr>
          <w:rFonts w:ascii="TH SarabunPSK" w:hAnsi="TH SarabunPSK" w:cs="TH SarabunPSK" w:hint="cs"/>
          <w:szCs w:val="24"/>
          <w:lang w:val="en-US"/>
        </w:rPr>
        <w:t xml:space="preserve">The shifting paradigm of ELT to Global </w:t>
      </w:r>
      <w:proofErr w:type="spellStart"/>
      <w:r w:rsidRPr="00B23DE5">
        <w:rPr>
          <w:rFonts w:ascii="TH SarabunPSK" w:hAnsi="TH SarabunPSK" w:cs="TH SarabunPSK" w:hint="cs"/>
          <w:szCs w:val="24"/>
          <w:lang w:val="en-US"/>
        </w:rPr>
        <w:t>Englishes</w:t>
      </w:r>
      <w:proofErr w:type="spellEnd"/>
      <w:r w:rsidRPr="00B23DE5">
        <w:rPr>
          <w:rFonts w:ascii="TH SarabunPSK" w:hAnsi="TH SarabunPSK" w:cs="TH SarabunPSK" w:hint="cs"/>
          <w:szCs w:val="24"/>
          <w:lang w:val="en-US"/>
        </w:rPr>
        <w:t xml:space="preserve"> Language Teaching </w:t>
      </w:r>
    </w:p>
    <w:p w14:paraId="3D944911" w14:textId="2A19AA43" w:rsidR="00F31AC7" w:rsidRPr="00B23DE5" w:rsidRDefault="00F31AC7" w:rsidP="00B23DE5">
      <w:pPr>
        <w:pStyle w:val="ListParagraph"/>
        <w:numPr>
          <w:ilvl w:val="0"/>
          <w:numId w:val="2"/>
        </w:numPr>
        <w:jc w:val="both"/>
        <w:rPr>
          <w:rFonts w:ascii="TH SarabunPSK" w:hAnsi="TH SarabunPSK" w:cs="TH SarabunPSK"/>
          <w:szCs w:val="24"/>
          <w:lang w:val="en-US"/>
        </w:rPr>
      </w:pPr>
      <w:r w:rsidRPr="00B23DE5">
        <w:rPr>
          <w:rFonts w:ascii="TH SarabunPSK" w:hAnsi="TH SarabunPSK" w:cs="TH SarabunPSK" w:hint="cs"/>
          <w:szCs w:val="24"/>
          <w:lang w:val="en-US"/>
        </w:rPr>
        <w:t xml:space="preserve">Moving away from the traditional ideology of English teaching </w:t>
      </w:r>
    </w:p>
    <w:p w14:paraId="4A5145B9" w14:textId="77777777" w:rsidR="00F84C0C" w:rsidRPr="00B23DE5" w:rsidRDefault="00F84C0C" w:rsidP="00B23DE5">
      <w:pPr>
        <w:jc w:val="both"/>
        <w:rPr>
          <w:rFonts w:ascii="TH SarabunPSK" w:hAnsi="TH SarabunPSK" w:cs="TH SarabunPSK"/>
          <w:lang w:val="en-US"/>
        </w:rPr>
      </w:pPr>
    </w:p>
    <w:p w14:paraId="2AECB8BA" w14:textId="77777777" w:rsidR="00F84C0C" w:rsidRPr="00B23DE5" w:rsidRDefault="00F84C0C" w:rsidP="00B23DE5">
      <w:pPr>
        <w:jc w:val="both"/>
        <w:rPr>
          <w:rFonts w:ascii="TH SarabunPSK" w:hAnsi="TH SarabunPSK" w:cs="TH SarabunPSK"/>
          <w:b/>
          <w:bCs/>
          <w:lang w:val="en-US"/>
        </w:rPr>
      </w:pPr>
      <w:r w:rsidRPr="00B23DE5">
        <w:rPr>
          <w:rFonts w:ascii="TH SarabunPSK" w:hAnsi="TH SarabunPSK" w:cs="TH SarabunPSK" w:hint="cs"/>
          <w:b/>
          <w:bCs/>
          <w:lang w:val="en-US"/>
        </w:rPr>
        <w:t>Research Questions:</w:t>
      </w:r>
    </w:p>
    <w:p w14:paraId="56778E56" w14:textId="4946842E" w:rsidR="00F84C0C" w:rsidRPr="00B23DE5" w:rsidRDefault="00F84C0C" w:rsidP="00B23DE5">
      <w:pPr>
        <w:pStyle w:val="ListParagraph"/>
        <w:numPr>
          <w:ilvl w:val="0"/>
          <w:numId w:val="4"/>
        </w:numPr>
        <w:jc w:val="both"/>
        <w:rPr>
          <w:rFonts w:ascii="TH SarabunPSK" w:hAnsi="TH SarabunPSK" w:cs="TH SarabunPSK"/>
          <w:szCs w:val="24"/>
          <w:lang w:val="en-US"/>
        </w:rPr>
      </w:pPr>
      <w:r w:rsidRPr="00B23DE5">
        <w:rPr>
          <w:rFonts w:ascii="TH SarabunPSK" w:hAnsi="TH SarabunPSK" w:cs="TH SarabunPSK" w:hint="cs"/>
          <w:szCs w:val="24"/>
          <w:lang w:val="en-US"/>
        </w:rPr>
        <w:t xml:space="preserve">To what extent do the students use of Thai to support their English language learning? </w:t>
      </w:r>
    </w:p>
    <w:p w14:paraId="439C601E" w14:textId="0E8080EC" w:rsidR="00F84C0C" w:rsidRPr="00B23DE5" w:rsidRDefault="00F84C0C" w:rsidP="00B23DE5">
      <w:pPr>
        <w:pStyle w:val="ListParagraph"/>
        <w:numPr>
          <w:ilvl w:val="0"/>
          <w:numId w:val="4"/>
        </w:numPr>
        <w:jc w:val="both"/>
        <w:rPr>
          <w:rFonts w:ascii="TH SarabunPSK" w:hAnsi="TH SarabunPSK" w:cs="TH SarabunPSK"/>
          <w:szCs w:val="24"/>
          <w:lang w:val="en-US"/>
        </w:rPr>
      </w:pPr>
      <w:r w:rsidRPr="00B23DE5">
        <w:rPr>
          <w:rFonts w:ascii="TH SarabunPSK" w:hAnsi="TH SarabunPSK" w:cs="TH SarabunPSK" w:hint="cs"/>
          <w:szCs w:val="24"/>
          <w:lang w:val="en-US"/>
        </w:rPr>
        <w:t xml:space="preserve">To what extent does the </w:t>
      </w:r>
      <w:proofErr w:type="spellStart"/>
      <w:r w:rsidRPr="00B23DE5">
        <w:rPr>
          <w:rFonts w:ascii="TH SarabunPSK" w:hAnsi="TH SarabunPSK" w:cs="TH SarabunPSK" w:hint="cs"/>
          <w:szCs w:val="24"/>
          <w:lang w:val="en-US"/>
        </w:rPr>
        <w:t>translanguaging</w:t>
      </w:r>
      <w:proofErr w:type="spellEnd"/>
      <w:r w:rsidRPr="00B23DE5">
        <w:rPr>
          <w:rFonts w:ascii="TH SarabunPSK" w:hAnsi="TH SarabunPSK" w:cs="TH SarabunPSK" w:hint="cs"/>
          <w:szCs w:val="24"/>
          <w:lang w:val="en-US"/>
        </w:rPr>
        <w:t xml:space="preserve"> pedagogy support Thai students to learn English? </w:t>
      </w:r>
    </w:p>
    <w:p w14:paraId="2B220FB5" w14:textId="77777777" w:rsidR="00F31AC7" w:rsidRPr="00B23DE5" w:rsidRDefault="00F31AC7" w:rsidP="00B23DE5">
      <w:pPr>
        <w:jc w:val="both"/>
        <w:rPr>
          <w:rFonts w:ascii="TH SarabunPSK" w:hAnsi="TH SarabunPSK" w:cs="TH SarabunPSK"/>
          <w:lang w:val="en-US"/>
        </w:rPr>
      </w:pPr>
    </w:p>
    <w:p w14:paraId="5F199A6D" w14:textId="3BC706E0" w:rsidR="00F84C0C" w:rsidRPr="00B23DE5" w:rsidRDefault="00F84C0C" w:rsidP="00B23DE5">
      <w:pPr>
        <w:jc w:val="both"/>
        <w:rPr>
          <w:rFonts w:ascii="TH SarabunPSK" w:hAnsi="TH SarabunPSK" w:cs="TH SarabunPSK"/>
          <w:b/>
          <w:bCs/>
          <w:lang w:val="en-US"/>
        </w:rPr>
      </w:pPr>
      <w:r w:rsidRPr="00B23DE5">
        <w:rPr>
          <w:rFonts w:ascii="TH SarabunPSK" w:hAnsi="TH SarabunPSK" w:cs="TH SarabunPSK" w:hint="cs"/>
          <w:b/>
          <w:bCs/>
          <w:lang w:val="en-US"/>
        </w:rPr>
        <w:t>Research Methodology:</w:t>
      </w:r>
    </w:p>
    <w:p w14:paraId="4752B0B1" w14:textId="53939354" w:rsidR="00F84C0C" w:rsidRPr="00B23DE5" w:rsidRDefault="00F84C0C" w:rsidP="00B23DE5">
      <w:pPr>
        <w:pStyle w:val="ListParagraph"/>
        <w:numPr>
          <w:ilvl w:val="0"/>
          <w:numId w:val="5"/>
        </w:numPr>
        <w:jc w:val="both"/>
        <w:rPr>
          <w:rFonts w:ascii="TH SarabunPSK" w:hAnsi="TH SarabunPSK" w:cs="TH SarabunPSK"/>
          <w:szCs w:val="24"/>
          <w:lang w:val="en-US"/>
        </w:rPr>
      </w:pPr>
      <w:r w:rsidRPr="00B23DE5">
        <w:rPr>
          <w:rFonts w:ascii="TH SarabunPSK" w:hAnsi="TH SarabunPSK" w:cs="TH SarabunPSK" w:hint="cs"/>
          <w:szCs w:val="24"/>
          <w:lang w:val="en-US"/>
        </w:rPr>
        <w:t xml:space="preserve">Classroom observation (participation observation: the researcher takes a role of the lecturers using </w:t>
      </w:r>
      <w:proofErr w:type="spellStart"/>
      <w:r w:rsidRPr="00B23DE5">
        <w:rPr>
          <w:rFonts w:ascii="TH SarabunPSK" w:hAnsi="TH SarabunPSK" w:cs="TH SarabunPSK" w:hint="cs"/>
          <w:szCs w:val="24"/>
          <w:lang w:val="en-US"/>
        </w:rPr>
        <w:t>translanguaging</w:t>
      </w:r>
      <w:proofErr w:type="spellEnd"/>
      <w:r w:rsidRPr="00B23DE5">
        <w:rPr>
          <w:rFonts w:ascii="TH SarabunPSK" w:hAnsi="TH SarabunPSK" w:cs="TH SarabunPSK" w:hint="cs"/>
          <w:szCs w:val="24"/>
          <w:lang w:val="en-US"/>
        </w:rPr>
        <w:t xml:space="preserve"> in class of WORLD ENGLISHES) </w:t>
      </w:r>
    </w:p>
    <w:p w14:paraId="5F561193" w14:textId="70CFCE6C" w:rsidR="00F84C0C" w:rsidRPr="00B23DE5" w:rsidRDefault="00F84C0C" w:rsidP="00B23DE5">
      <w:pPr>
        <w:pStyle w:val="ListParagraph"/>
        <w:numPr>
          <w:ilvl w:val="0"/>
          <w:numId w:val="5"/>
        </w:numPr>
        <w:jc w:val="both"/>
        <w:rPr>
          <w:rFonts w:ascii="TH SarabunPSK" w:hAnsi="TH SarabunPSK" w:cs="TH SarabunPSK"/>
          <w:szCs w:val="24"/>
          <w:lang w:val="en-US"/>
        </w:rPr>
      </w:pPr>
      <w:r w:rsidRPr="00B23DE5">
        <w:rPr>
          <w:rFonts w:ascii="TH SarabunPSK" w:hAnsi="TH SarabunPSK" w:cs="TH SarabunPSK" w:hint="cs"/>
          <w:szCs w:val="24"/>
          <w:lang w:val="en-US"/>
        </w:rPr>
        <w:t xml:space="preserve">A questionnaire to investigate students’ perception of using </w:t>
      </w:r>
      <w:proofErr w:type="spellStart"/>
      <w:r w:rsidRPr="00B23DE5">
        <w:rPr>
          <w:rFonts w:ascii="TH SarabunPSK" w:hAnsi="TH SarabunPSK" w:cs="TH SarabunPSK" w:hint="cs"/>
          <w:szCs w:val="24"/>
          <w:lang w:val="en-US"/>
        </w:rPr>
        <w:t>translanguaging</w:t>
      </w:r>
      <w:proofErr w:type="spellEnd"/>
      <w:r w:rsidRPr="00B23DE5">
        <w:rPr>
          <w:rFonts w:ascii="TH SarabunPSK" w:hAnsi="TH SarabunPSK" w:cs="TH SarabunPSK" w:hint="cs"/>
          <w:szCs w:val="24"/>
          <w:lang w:val="en-US"/>
        </w:rPr>
        <w:t xml:space="preserve"> in classroom of WORLD ENGLISHES </w:t>
      </w:r>
    </w:p>
    <w:p w14:paraId="2A722C4A" w14:textId="53E3F5D3" w:rsidR="00F84C0C" w:rsidRPr="00B23DE5" w:rsidRDefault="00F84C0C" w:rsidP="00B23DE5">
      <w:pPr>
        <w:pStyle w:val="ListParagraph"/>
        <w:numPr>
          <w:ilvl w:val="0"/>
          <w:numId w:val="5"/>
        </w:numPr>
        <w:jc w:val="both"/>
        <w:rPr>
          <w:rFonts w:ascii="TH SarabunPSK" w:hAnsi="TH SarabunPSK" w:cs="TH SarabunPSK"/>
          <w:szCs w:val="24"/>
          <w:lang w:val="en-US"/>
        </w:rPr>
      </w:pPr>
      <w:r w:rsidRPr="00B23DE5">
        <w:rPr>
          <w:rFonts w:ascii="TH SarabunPSK" w:hAnsi="TH SarabunPSK" w:cs="TH SarabunPSK" w:hint="cs"/>
          <w:szCs w:val="24"/>
          <w:lang w:val="en-US"/>
        </w:rPr>
        <w:t xml:space="preserve">A questionnaire to investigate the students’ awareness of World </w:t>
      </w:r>
      <w:proofErr w:type="spellStart"/>
      <w:r w:rsidRPr="00B23DE5">
        <w:rPr>
          <w:rFonts w:ascii="TH SarabunPSK" w:hAnsi="TH SarabunPSK" w:cs="TH SarabunPSK" w:hint="cs"/>
          <w:szCs w:val="24"/>
          <w:lang w:val="en-US"/>
        </w:rPr>
        <w:t>Englishes</w:t>
      </w:r>
      <w:proofErr w:type="spellEnd"/>
      <w:r w:rsidRPr="00B23DE5">
        <w:rPr>
          <w:rFonts w:ascii="TH SarabunPSK" w:hAnsi="TH SarabunPSK" w:cs="TH SarabunPSK" w:hint="cs"/>
          <w:szCs w:val="24"/>
          <w:lang w:val="en-US"/>
        </w:rPr>
        <w:t xml:space="preserve"> and English as a lingua franca </w:t>
      </w:r>
    </w:p>
    <w:p w14:paraId="6C6155E9" w14:textId="5F87D94D" w:rsidR="00F84C0C" w:rsidRPr="00B23DE5" w:rsidRDefault="00F84C0C" w:rsidP="00B23DE5">
      <w:pPr>
        <w:pStyle w:val="ListParagraph"/>
        <w:numPr>
          <w:ilvl w:val="0"/>
          <w:numId w:val="5"/>
        </w:numPr>
        <w:jc w:val="both"/>
        <w:rPr>
          <w:rFonts w:ascii="TH SarabunPSK" w:hAnsi="TH SarabunPSK" w:cs="TH SarabunPSK"/>
          <w:szCs w:val="24"/>
          <w:lang w:val="en-US"/>
        </w:rPr>
      </w:pPr>
      <w:r w:rsidRPr="00B23DE5">
        <w:rPr>
          <w:rFonts w:ascii="TH SarabunPSK" w:hAnsi="TH SarabunPSK" w:cs="TH SarabunPSK" w:hint="cs"/>
          <w:szCs w:val="24"/>
          <w:lang w:val="en-US"/>
        </w:rPr>
        <w:lastRenderedPageBreak/>
        <w:t xml:space="preserve">Semi-interviews to have in-depth information of students’ opinions and experiences of using </w:t>
      </w:r>
      <w:proofErr w:type="spellStart"/>
      <w:r w:rsidRPr="00B23DE5">
        <w:rPr>
          <w:rFonts w:ascii="TH SarabunPSK" w:hAnsi="TH SarabunPSK" w:cs="TH SarabunPSK" w:hint="cs"/>
          <w:szCs w:val="24"/>
          <w:lang w:val="en-US"/>
        </w:rPr>
        <w:t>translanguaging</w:t>
      </w:r>
      <w:proofErr w:type="spellEnd"/>
      <w:r w:rsidRPr="00B23DE5">
        <w:rPr>
          <w:rFonts w:ascii="TH SarabunPSK" w:hAnsi="TH SarabunPSK" w:cs="TH SarabunPSK" w:hint="cs"/>
          <w:szCs w:val="24"/>
          <w:lang w:val="en-US"/>
        </w:rPr>
        <w:t xml:space="preserve">. </w:t>
      </w:r>
    </w:p>
    <w:p w14:paraId="32F90424" w14:textId="34C3866B" w:rsidR="00F84C0C" w:rsidRPr="00B23DE5" w:rsidRDefault="00F84C0C" w:rsidP="00B23DE5">
      <w:pPr>
        <w:jc w:val="both"/>
        <w:rPr>
          <w:rFonts w:ascii="TH SarabunPSK" w:hAnsi="TH SarabunPSK" w:cs="TH SarabunPSK"/>
          <w:b/>
          <w:bCs/>
          <w:lang w:val="en-US"/>
        </w:rPr>
      </w:pPr>
      <w:r w:rsidRPr="00B23DE5">
        <w:rPr>
          <w:rFonts w:ascii="TH SarabunPSK" w:hAnsi="TH SarabunPSK" w:cs="TH SarabunPSK" w:hint="cs"/>
          <w:b/>
          <w:bCs/>
          <w:lang w:val="en-US"/>
        </w:rPr>
        <w:t>Points of research discussion</w:t>
      </w:r>
    </w:p>
    <w:p w14:paraId="3C2C0C37" w14:textId="5FDA4DCF" w:rsidR="00F84C0C" w:rsidRPr="00B23DE5" w:rsidRDefault="00F84C0C" w:rsidP="00B23DE5">
      <w:pPr>
        <w:pStyle w:val="ListParagraph"/>
        <w:numPr>
          <w:ilvl w:val="0"/>
          <w:numId w:val="6"/>
        </w:numPr>
        <w:jc w:val="both"/>
        <w:rPr>
          <w:rFonts w:ascii="TH SarabunPSK" w:hAnsi="TH SarabunPSK" w:cs="TH SarabunPSK"/>
          <w:szCs w:val="24"/>
          <w:lang w:val="en-US"/>
        </w:rPr>
      </w:pPr>
      <w:r w:rsidRPr="00B23DE5">
        <w:rPr>
          <w:rFonts w:ascii="TH SarabunPSK" w:hAnsi="TH SarabunPSK" w:cs="TH SarabunPSK" w:hint="cs"/>
          <w:szCs w:val="24"/>
          <w:lang w:val="en-US"/>
        </w:rPr>
        <w:t xml:space="preserve">The ways to </w:t>
      </w:r>
      <w:proofErr w:type="spellStart"/>
      <w:r w:rsidRPr="00B23DE5">
        <w:rPr>
          <w:rFonts w:ascii="TH SarabunPSK" w:hAnsi="TH SarabunPSK" w:cs="TH SarabunPSK" w:hint="cs"/>
          <w:szCs w:val="24"/>
          <w:lang w:val="en-US"/>
        </w:rPr>
        <w:t>analyse</w:t>
      </w:r>
      <w:proofErr w:type="spellEnd"/>
      <w:r w:rsidRPr="00B23DE5">
        <w:rPr>
          <w:rFonts w:ascii="TH SarabunPSK" w:hAnsi="TH SarabunPSK" w:cs="TH SarabunPSK" w:hint="cs"/>
          <w:szCs w:val="24"/>
          <w:lang w:val="en-US"/>
        </w:rPr>
        <w:t xml:space="preserve"> the focus of the findings: </w:t>
      </w:r>
      <w:r w:rsidR="00361CAA" w:rsidRPr="00B23DE5">
        <w:rPr>
          <w:rFonts w:ascii="TH SarabunPSK" w:hAnsi="TH SarabunPSK" w:cs="TH SarabunPSK" w:hint="cs"/>
          <w:szCs w:val="24"/>
          <w:lang w:val="en-US"/>
        </w:rPr>
        <w:t>s</w:t>
      </w:r>
      <w:r w:rsidRPr="00B23DE5">
        <w:rPr>
          <w:rFonts w:ascii="TH SarabunPSK" w:hAnsi="TH SarabunPSK" w:cs="TH SarabunPSK" w:hint="cs"/>
          <w:szCs w:val="24"/>
          <w:lang w:val="en-US"/>
        </w:rPr>
        <w:t>tudents’ perspectives</w:t>
      </w:r>
      <w:r w:rsidR="00F31AC7" w:rsidRPr="00B23DE5">
        <w:rPr>
          <w:rFonts w:ascii="TH SarabunPSK" w:hAnsi="TH SarabunPSK" w:cs="TH SarabunPSK" w:hint="cs"/>
          <w:szCs w:val="24"/>
          <w:lang w:val="en-US"/>
        </w:rPr>
        <w:t xml:space="preserve">. </w:t>
      </w:r>
    </w:p>
    <w:p w14:paraId="3FB13A4E" w14:textId="54E7DEA2" w:rsidR="00F84C0C" w:rsidRPr="00B23DE5" w:rsidRDefault="00F84C0C" w:rsidP="00B23DE5">
      <w:pPr>
        <w:pStyle w:val="ListParagraph"/>
        <w:numPr>
          <w:ilvl w:val="0"/>
          <w:numId w:val="6"/>
        </w:numPr>
        <w:jc w:val="both"/>
        <w:rPr>
          <w:rFonts w:ascii="TH SarabunPSK" w:hAnsi="TH SarabunPSK" w:cs="TH SarabunPSK"/>
          <w:szCs w:val="24"/>
          <w:lang w:val="en-US"/>
        </w:rPr>
      </w:pPr>
      <w:r w:rsidRPr="00B23DE5">
        <w:rPr>
          <w:rFonts w:ascii="TH SarabunPSK" w:hAnsi="TH SarabunPSK" w:cs="TH SarabunPSK" w:hint="cs"/>
          <w:szCs w:val="24"/>
          <w:lang w:val="en-US"/>
        </w:rPr>
        <w:t>From the findings, in what way</w:t>
      </w:r>
      <w:r w:rsidR="00361CAA" w:rsidRPr="00B23DE5">
        <w:rPr>
          <w:rFonts w:ascii="TH SarabunPSK" w:hAnsi="TH SarabunPSK" w:cs="TH SarabunPSK" w:hint="cs"/>
          <w:szCs w:val="24"/>
          <w:lang w:val="en-US"/>
        </w:rPr>
        <w:t xml:space="preserve"> does </w:t>
      </w:r>
      <w:proofErr w:type="spellStart"/>
      <w:r w:rsidR="00361CAA" w:rsidRPr="00B23DE5">
        <w:rPr>
          <w:rFonts w:ascii="TH SarabunPSK" w:hAnsi="TH SarabunPSK" w:cs="TH SarabunPSK" w:hint="cs"/>
          <w:szCs w:val="24"/>
          <w:lang w:val="en-US"/>
        </w:rPr>
        <w:t>translanaguging</w:t>
      </w:r>
      <w:proofErr w:type="spellEnd"/>
      <w:r w:rsidR="00361CAA" w:rsidRPr="00B23DE5">
        <w:rPr>
          <w:rFonts w:ascii="TH SarabunPSK" w:hAnsi="TH SarabunPSK" w:cs="TH SarabunPSK" w:hint="cs"/>
          <w:szCs w:val="24"/>
          <w:lang w:val="en-US"/>
        </w:rPr>
        <w:t xml:space="preserve"> expand the students’ meaning-making repertoire</w:t>
      </w:r>
      <w:r w:rsidR="00F31AC7" w:rsidRPr="00B23DE5">
        <w:rPr>
          <w:rFonts w:ascii="TH SarabunPSK" w:hAnsi="TH SarabunPSK" w:cs="TH SarabunPSK" w:hint="cs"/>
          <w:szCs w:val="24"/>
          <w:lang w:val="en-US"/>
        </w:rPr>
        <w:t>?</w:t>
      </w:r>
    </w:p>
    <w:p w14:paraId="6127DB59" w14:textId="49F5D5A3" w:rsidR="00F31AC7" w:rsidRPr="00B23DE5" w:rsidRDefault="00F31AC7" w:rsidP="00B23DE5">
      <w:pPr>
        <w:pStyle w:val="ListParagraph"/>
        <w:numPr>
          <w:ilvl w:val="0"/>
          <w:numId w:val="6"/>
        </w:numPr>
        <w:jc w:val="both"/>
        <w:rPr>
          <w:rFonts w:ascii="TH SarabunPSK" w:hAnsi="TH SarabunPSK" w:cs="TH SarabunPSK"/>
          <w:szCs w:val="24"/>
          <w:lang w:val="en-US"/>
        </w:rPr>
      </w:pPr>
      <w:r w:rsidRPr="00B23DE5">
        <w:rPr>
          <w:rFonts w:ascii="TH SarabunPSK" w:hAnsi="TH SarabunPSK" w:cs="TH SarabunPSK" w:hint="cs"/>
          <w:szCs w:val="24"/>
          <w:lang w:val="en-US"/>
        </w:rPr>
        <w:t xml:space="preserve">Are they any issues of the findings related to intercultural communication, for discussion? </w:t>
      </w:r>
    </w:p>
    <w:p w14:paraId="09EAF323" w14:textId="1744DAB3" w:rsidR="00B23DE5" w:rsidRDefault="00B23DE5" w:rsidP="00B23DE5">
      <w:pPr>
        <w:jc w:val="both"/>
        <w:rPr>
          <w:rFonts w:ascii="TH SarabunPSK" w:hAnsi="TH SarabunPSK" w:cs="TH SarabunPSK"/>
          <w:lang w:val="en-US"/>
        </w:rPr>
      </w:pPr>
    </w:p>
    <w:p w14:paraId="07991E3C" w14:textId="77777777" w:rsidR="00B23DE5" w:rsidRDefault="00B23DE5" w:rsidP="00B23DE5">
      <w:pPr>
        <w:jc w:val="both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noProof/>
          <w:lang w:val="en-US"/>
        </w:rPr>
        <w:drawing>
          <wp:inline distT="0" distB="0" distL="0" distR="0" wp14:anchorId="3EE42D80" wp14:editId="3D21B7DA">
            <wp:extent cx="5050631" cy="7142307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5458" cy="7149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6CE88" w14:textId="4043E446" w:rsidR="00B23DE5" w:rsidRDefault="00B23DE5" w:rsidP="00B23DE5">
      <w:pPr>
        <w:jc w:val="both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noProof/>
          <w:lang w:val="en-US"/>
        </w:rPr>
        <w:lastRenderedPageBreak/>
        <w:drawing>
          <wp:inline distT="0" distB="0" distL="0" distR="0" wp14:anchorId="686DB661" wp14:editId="17618564">
            <wp:extent cx="4929188" cy="6970569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6720" cy="698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D6D88" w14:textId="7DC2AC1E" w:rsidR="00B23DE5" w:rsidRPr="00B23DE5" w:rsidRDefault="00B23DE5" w:rsidP="00B23DE5">
      <w:pPr>
        <w:jc w:val="both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 w:hint="cs"/>
          <w:noProof/>
          <w:lang w:val="en-US"/>
        </w:rPr>
        <w:lastRenderedPageBreak/>
        <w:drawing>
          <wp:inline distT="0" distB="0" distL="0" distR="0" wp14:anchorId="3051EC1E" wp14:editId="6AD71D56">
            <wp:extent cx="5779294" cy="819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269" cy="820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92CAA" w14:textId="1B4A7693" w:rsidR="00856C6D" w:rsidRPr="00B23DE5" w:rsidRDefault="00856C6D" w:rsidP="00B23DE5">
      <w:pPr>
        <w:ind w:left="360"/>
        <w:jc w:val="both"/>
        <w:rPr>
          <w:rFonts w:ascii="TH SarabunPSK" w:hAnsi="TH SarabunPSK" w:cs="TH SarabunPSK"/>
          <w:cs/>
          <w:lang w:val="en-US"/>
        </w:rPr>
      </w:pPr>
    </w:p>
    <w:sectPr w:rsidR="00856C6D" w:rsidRPr="00B23DE5">
      <w:pgSz w:w="11906" w:h="16838"/>
      <w:pgMar w:top="1440" w:right="1440" w:bottom="1440" w:left="1440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E503B" w14:textId="77777777" w:rsidR="00552876" w:rsidRDefault="00552876" w:rsidP="009A2A6F">
      <w:r>
        <w:separator/>
      </w:r>
    </w:p>
  </w:endnote>
  <w:endnote w:type="continuationSeparator" w:id="0">
    <w:p w14:paraId="27552FFC" w14:textId="77777777" w:rsidR="00552876" w:rsidRDefault="00552876" w:rsidP="009A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BChuanPimPSU-Rugular">
    <w:altName w:val="DB ChuanPim PSU Rugular"/>
    <w:panose1 w:val="02000806000000020004"/>
    <w:charset w:val="DE"/>
    <w:family w:val="auto"/>
    <w:pitch w:val="variable"/>
    <w:sig w:usb0="81000003" w:usb1="1000204A" w:usb2="00000000" w:usb3="00000000" w:csb0="0001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beration Sans">
    <w:altName w:val="Arial"/>
    <w:panose1 w:val="020B0604020202020204"/>
    <w:charset w:val="01"/>
    <w:family w:val="swiss"/>
    <w:pitch w:val="variable"/>
  </w:font>
  <w:font w:name="DejaVu Sans">
    <w:panose1 w:val="020B0604020202020204"/>
    <w:charset w:val="00"/>
    <w:family w:val="roman"/>
    <w:pitch w:val="default"/>
  </w:font>
  <w:font w:name="FreeSans">
    <w:altName w:val="Cambria"/>
    <w:panose1 w:val="020B0604020202020204"/>
    <w:charset w:val="00"/>
    <w:family w:val="roman"/>
    <w:pitch w:val="default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E3191" w14:textId="77777777" w:rsidR="00552876" w:rsidRDefault="00552876" w:rsidP="009A2A6F">
      <w:r>
        <w:separator/>
      </w:r>
    </w:p>
  </w:footnote>
  <w:footnote w:type="continuationSeparator" w:id="0">
    <w:p w14:paraId="7DD1CE58" w14:textId="77777777" w:rsidR="00552876" w:rsidRDefault="00552876" w:rsidP="009A2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E7D4F"/>
    <w:multiLevelType w:val="hybridMultilevel"/>
    <w:tmpl w:val="3DA68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6347D"/>
    <w:multiLevelType w:val="hybridMultilevel"/>
    <w:tmpl w:val="ABF0BDF4"/>
    <w:lvl w:ilvl="0" w:tplc="2D28E25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26369"/>
    <w:multiLevelType w:val="hybridMultilevel"/>
    <w:tmpl w:val="E0665220"/>
    <w:lvl w:ilvl="0" w:tplc="04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60F43CDE"/>
    <w:multiLevelType w:val="hybridMultilevel"/>
    <w:tmpl w:val="D7AE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F1DFC"/>
    <w:multiLevelType w:val="hybridMultilevel"/>
    <w:tmpl w:val="A7E47612"/>
    <w:lvl w:ilvl="0" w:tplc="2D28E25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55878"/>
    <w:multiLevelType w:val="multilevel"/>
    <w:tmpl w:val="834C7A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32B1044"/>
    <w:multiLevelType w:val="hybridMultilevel"/>
    <w:tmpl w:val="F6387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mirrorMargin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2C"/>
    <w:rsid w:val="000E1ED2"/>
    <w:rsid w:val="000E739E"/>
    <w:rsid w:val="00102414"/>
    <w:rsid w:val="003569D3"/>
    <w:rsid w:val="00361CAA"/>
    <w:rsid w:val="00454DE5"/>
    <w:rsid w:val="00552876"/>
    <w:rsid w:val="005A08C3"/>
    <w:rsid w:val="005F6497"/>
    <w:rsid w:val="00656226"/>
    <w:rsid w:val="006D0FC9"/>
    <w:rsid w:val="007E3D15"/>
    <w:rsid w:val="00856C6D"/>
    <w:rsid w:val="008D2591"/>
    <w:rsid w:val="0094722C"/>
    <w:rsid w:val="009A2A6F"/>
    <w:rsid w:val="009B323C"/>
    <w:rsid w:val="00AC7D30"/>
    <w:rsid w:val="00B0070C"/>
    <w:rsid w:val="00B23DE5"/>
    <w:rsid w:val="00C90EEF"/>
    <w:rsid w:val="00D510DB"/>
    <w:rsid w:val="00DB5287"/>
    <w:rsid w:val="00F31AC7"/>
    <w:rsid w:val="00F55FC3"/>
    <w:rsid w:val="00F8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24B3"/>
  <w15:docId w15:val="{219D59D5-9C96-7B48-B6CD-D6D0A833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GB" w:eastAsia="en-US" w:bidi="th-TH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A6F"/>
    <w:pPr>
      <w:suppressAutoHyphens w:val="0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4E4C33"/>
    <w:pPr>
      <w:keepNext/>
      <w:numPr>
        <w:numId w:val="1"/>
      </w:numPr>
      <w:suppressAutoHyphens/>
      <w:spacing w:before="240" w:after="60"/>
      <w:ind w:left="567" w:hanging="567"/>
      <w:outlineLvl w:val="0"/>
    </w:pPr>
    <w:rPr>
      <w:rFonts w:ascii="DBChuanPimPSU-Rugular" w:eastAsia="Cordia New" w:hAnsi="DBChuanPimPSU-Rugular" w:cstheme="majorBidi"/>
      <w:b/>
      <w:bCs/>
      <w:kern w:val="2"/>
      <w:sz w:val="32"/>
      <w:szCs w:val="4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4E4C33"/>
    <w:rPr>
      <w:rFonts w:ascii="DBChuanPimPSU-Rugular" w:eastAsia="Cordia New" w:hAnsi="DBChuanPimPSU-Rugular" w:cstheme="majorBidi"/>
      <w:b/>
      <w:bCs/>
      <w:kern w:val="2"/>
      <w:sz w:val="32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D385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7D3859"/>
    <w:rPr>
      <w:rFonts w:ascii="Times New Roman" w:eastAsia="Times New Roman" w:hAnsi="Times New Roman" w:cs="Angsana New"/>
      <w:sz w:val="20"/>
      <w:szCs w:val="25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D3859"/>
    <w:rPr>
      <w:rFonts w:ascii="Times New Roman" w:eastAsia="Times New Roman" w:hAnsi="Times New Roman" w:cs="Angsana New"/>
      <w:b/>
      <w:bCs/>
      <w:sz w:val="20"/>
      <w:szCs w:val="25"/>
      <w:lang w:eastAsia="en-GB"/>
    </w:rPr>
  </w:style>
  <w:style w:type="paragraph" w:customStyle="1" w:styleId="Heading">
    <w:name w:val="Heading"/>
    <w:basedOn w:val="Normal"/>
    <w:next w:val="BodyText"/>
    <w:qFormat/>
    <w:pPr>
      <w:keepNext/>
      <w:suppressAutoHyphens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uppressAutoHyphens/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uppressAutoHyphen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  <w:suppressAutoHyphens/>
    </w:pPr>
    <w:rPr>
      <w:rFonts w:cs="FreeSans"/>
    </w:rPr>
  </w:style>
  <w:style w:type="paragraph" w:styleId="NormalWeb">
    <w:name w:val="Normal (Web)"/>
    <w:basedOn w:val="Normal"/>
    <w:uiPriority w:val="99"/>
    <w:unhideWhenUsed/>
    <w:qFormat/>
    <w:rsid w:val="00141103"/>
    <w:pPr>
      <w:suppressAutoHyphens/>
      <w:spacing w:beforeAutospacing="1" w:afterAutospacing="1"/>
    </w:pPr>
  </w:style>
  <w:style w:type="paragraph" w:styleId="ListParagraph">
    <w:name w:val="List Paragraph"/>
    <w:basedOn w:val="Normal"/>
    <w:uiPriority w:val="34"/>
    <w:qFormat/>
    <w:rsid w:val="00CE6D2A"/>
    <w:pPr>
      <w:suppressAutoHyphens/>
      <w:ind w:left="720"/>
      <w:contextualSpacing/>
    </w:pPr>
    <w:rPr>
      <w:rFonts w:asciiTheme="minorHAnsi" w:eastAsiaTheme="minorHAnsi" w:hAnsiTheme="minorHAnsi" w:cstheme="minorBidi"/>
      <w:szCs w:val="3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7D3859"/>
    <w:pPr>
      <w:suppressAutoHyphens/>
    </w:pPr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D3859"/>
    <w:rPr>
      <w:b/>
      <w:bCs/>
    </w:rPr>
  </w:style>
  <w:style w:type="character" w:styleId="Strong">
    <w:name w:val="Strong"/>
    <w:basedOn w:val="DefaultParagraphFont"/>
    <w:uiPriority w:val="22"/>
    <w:qFormat/>
    <w:rsid w:val="00D510DB"/>
    <w:rPr>
      <w:b/>
      <w:bCs/>
    </w:rPr>
  </w:style>
  <w:style w:type="character" w:styleId="Hyperlink">
    <w:name w:val="Hyperlink"/>
    <w:basedOn w:val="DefaultParagraphFont"/>
    <w:uiPriority w:val="99"/>
    <w:unhideWhenUsed/>
    <w:rsid w:val="00D510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0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2A6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2A6F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A2A6F"/>
    <w:rPr>
      <w:rFonts w:ascii="Times New Roman" w:eastAsia="Times New Roman" w:hAnsi="Times New Roman" w:cs="Angsana New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A2A6F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A2A6F"/>
    <w:rPr>
      <w:rFonts w:ascii="Times New Roman" w:eastAsia="Times New Roman" w:hAnsi="Times New Roman" w:cs="Angsana New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1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4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aporn.j@psu.ac.t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mario.saraceni@port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22D2CB-3834-48AD-9CBA-F8AB3418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TJ JAROENSAK</dc:creator>
  <dc:description/>
  <cp:lastModifiedBy>TIRAPORN JAROENSAK (ธีรพร เจริญศักดิ์)</cp:lastModifiedBy>
  <cp:revision>3</cp:revision>
  <dcterms:created xsi:type="dcterms:W3CDTF">2021-08-14T20:31:00Z</dcterms:created>
  <dcterms:modified xsi:type="dcterms:W3CDTF">2021-08-14T20:41:00Z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 11th edition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7th edition</vt:lpwstr>
  </property>
  <property fmtid="{D5CDD505-2E9C-101B-9397-08002B2CF9AE}" pid="17" name="Mendeley Recent Style Name 3_1">
    <vt:lpwstr>American Sociological Association 6th edition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10th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7836198a-e030-3f14-a639-018f645127b4</vt:lpwstr>
  </property>
</Properties>
</file>